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C8B99" w14:textId="77777777" w:rsidR="009B6A70"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27EA177E" w:rsidR="00C8328B" w:rsidRPr="00D50745" w:rsidRDefault="000A1367"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8328B" w:rsidRPr="00D50745">
        <w:rPr>
          <w:rFonts w:ascii="Times New Roman" w:eastAsia="MS Mincho" w:hAnsi="Times New Roman" w:cs="Times New Roman"/>
          <w:b/>
          <w:bCs/>
          <w:sz w:val="24"/>
          <w:szCs w:val="24"/>
        </w:rPr>
        <w:t>ДОГОВОР ПОДРЯДА №</w:t>
      </w:r>
      <w:r w:rsidR="00C8328B" w:rsidRPr="00D50745">
        <w:rPr>
          <w:rFonts w:ascii="Times New Roman" w:eastAsia="MS Mincho" w:hAnsi="Times New Roman" w:cs="Times New Roman"/>
          <w:b/>
          <w:bCs/>
          <w:sz w:val="24"/>
          <w:szCs w:val="24"/>
          <w:u w:val="single"/>
        </w:rPr>
        <w:t xml:space="preserve"> ________</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30D7D9B2" w:rsidR="00C8328B" w:rsidRPr="00D50745"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«_____» _______202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3434A00F" w:rsidR="00C8328B" w:rsidRPr="00D50745" w:rsidRDefault="00C8328B" w:rsidP="00C8328B">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7C61EC">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директора </w:t>
      </w:r>
      <w:proofErr w:type="spellStart"/>
      <w:r w:rsidR="00150915">
        <w:rPr>
          <w:rFonts w:ascii="Times New Roman" w:eastAsia="Times New Roman" w:hAnsi="Times New Roman" w:cs="Times New Roman"/>
          <w:bCs/>
          <w:color w:val="000000"/>
          <w:sz w:val="24"/>
          <w:szCs w:val="24"/>
          <w:lang w:eastAsia="ar-SA"/>
        </w:rPr>
        <w:t>Северина</w:t>
      </w:r>
      <w:proofErr w:type="spellEnd"/>
      <w:r w:rsidR="00150915">
        <w:rPr>
          <w:rFonts w:ascii="Times New Roman" w:eastAsia="Times New Roman" w:hAnsi="Times New Roman" w:cs="Times New Roman"/>
          <w:bCs/>
          <w:color w:val="000000"/>
          <w:sz w:val="24"/>
          <w:szCs w:val="24"/>
          <w:lang w:eastAsia="ar-SA"/>
        </w:rPr>
        <w:t xml:space="preserve">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______________________________________, именуемый в дальнейшем «Подрядчик», действующего на основании ________________________________________,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от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2D156FCF" w14:textId="0F7A5B32" w:rsidR="0077210A" w:rsidRPr="000E5A93" w:rsidRDefault="00C8328B" w:rsidP="00C54E61">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00C54E61" w:rsidRPr="00C54E61">
        <w:rPr>
          <w:rFonts w:ascii="Times New Roman" w:hAnsi="Times New Roman"/>
          <w:sz w:val="24"/>
          <w:szCs w:val="24"/>
        </w:rPr>
        <w:t xml:space="preserve">на выполнение ремонтно-строительных работ по объекту: «Текущий ремонт раздевалок </w:t>
      </w:r>
      <w:proofErr w:type="gramStart"/>
      <w:r w:rsidR="00C54E61" w:rsidRPr="00C54E61">
        <w:rPr>
          <w:rFonts w:ascii="Times New Roman" w:hAnsi="Times New Roman"/>
          <w:sz w:val="24"/>
          <w:szCs w:val="24"/>
        </w:rPr>
        <w:t>и  напольного</w:t>
      </w:r>
      <w:proofErr w:type="gramEnd"/>
      <w:r w:rsidR="00C54E61" w:rsidRPr="00C54E61">
        <w:rPr>
          <w:rFonts w:ascii="Times New Roman" w:hAnsi="Times New Roman"/>
          <w:sz w:val="24"/>
          <w:szCs w:val="24"/>
        </w:rPr>
        <w:t xml:space="preserve"> покрытия  закрытого бассейна, текущий ремонт санузлов  административного корпуса </w:t>
      </w:r>
      <w:r w:rsidR="00C54E61">
        <w:rPr>
          <w:rFonts w:ascii="Times New Roman" w:hAnsi="Times New Roman"/>
          <w:sz w:val="24"/>
          <w:szCs w:val="24"/>
        </w:rPr>
        <w:t xml:space="preserve">                           (</w:t>
      </w:r>
      <w:r w:rsidR="00C54E61" w:rsidRPr="00C54E61">
        <w:rPr>
          <w:rFonts w:ascii="Times New Roman" w:hAnsi="Times New Roman"/>
          <w:sz w:val="24"/>
          <w:szCs w:val="24"/>
        </w:rPr>
        <w:t>помещения № 8,9,30,31,42,44,65,66), Текущий ремонт  помещений № 50,51,52,53,54, № 59,60,61,62,63 (душевые спортзала)»</w:t>
      </w:r>
    </w:p>
    <w:p w14:paraId="39236F55" w14:textId="77777777" w:rsidR="0077210A" w:rsidRDefault="00C8328B" w:rsidP="00863C17">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77210A">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0E5A93">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C8328B">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02368391" w:rsidR="00C8328B"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______ (__________) рублей ___ копеек, в том числе НДС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C54E61">
        <w:rPr>
          <w:rFonts w:ascii="Times New Roman" w:eastAsia="Times New Roman" w:hAnsi="Times New Roman" w:cs="Times New Roman"/>
          <w:color w:val="000000"/>
          <w:sz w:val="24"/>
          <w:szCs w:val="24"/>
          <w:lang w:eastAsia="ar-SA"/>
        </w:rPr>
        <w:t>и</w:t>
      </w:r>
      <w:r w:rsidR="00280ECB" w:rsidRPr="00280ECB">
        <w:rPr>
          <w:rFonts w:ascii="Times New Roman" w:eastAsia="Times New Roman" w:hAnsi="Times New Roman" w:cs="Times New Roman"/>
          <w:color w:val="000000"/>
          <w:sz w:val="24"/>
          <w:szCs w:val="24"/>
          <w:lang w:eastAsia="ar-SA"/>
        </w:rPr>
        <w:t xml:space="preserve"> сметным</w:t>
      </w:r>
      <w:r w:rsidR="00C54E61">
        <w:rPr>
          <w:rFonts w:ascii="Times New Roman" w:eastAsia="Times New Roman" w:hAnsi="Times New Roman" w:cs="Times New Roman"/>
          <w:color w:val="000000"/>
          <w:sz w:val="24"/>
          <w:szCs w:val="24"/>
          <w:lang w:eastAsia="ar-SA"/>
        </w:rPr>
        <w:t>и</w:t>
      </w:r>
      <w:r w:rsidR="00280ECB" w:rsidRPr="00280ECB">
        <w:rPr>
          <w:rFonts w:ascii="Times New Roman" w:eastAsia="Times New Roman" w:hAnsi="Times New Roman" w:cs="Times New Roman"/>
          <w:color w:val="000000"/>
          <w:sz w:val="24"/>
          <w:szCs w:val="24"/>
          <w:lang w:eastAsia="ar-SA"/>
        </w:rPr>
        <w:t xml:space="preserve"> </w:t>
      </w:r>
      <w:r w:rsidR="00B47E64" w:rsidRPr="00280ECB">
        <w:rPr>
          <w:rFonts w:ascii="Times New Roman" w:eastAsia="Times New Roman" w:hAnsi="Times New Roman" w:cs="Times New Roman"/>
          <w:color w:val="000000"/>
          <w:sz w:val="24"/>
          <w:szCs w:val="24"/>
          <w:lang w:eastAsia="ar-SA"/>
        </w:rPr>
        <w:t>расчет</w:t>
      </w:r>
      <w:r w:rsidR="00C54E61">
        <w:rPr>
          <w:rFonts w:ascii="Times New Roman" w:eastAsia="Times New Roman" w:hAnsi="Times New Roman" w:cs="Times New Roman"/>
          <w:color w:val="000000"/>
          <w:sz w:val="24"/>
          <w:szCs w:val="24"/>
          <w:lang w:eastAsia="ar-SA"/>
        </w:rPr>
        <w:t>ами</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r w:rsidR="00304C14">
        <w:rPr>
          <w:rFonts w:ascii="Times New Roman" w:eastAsia="Times New Roman" w:hAnsi="Times New Roman" w:cs="Times New Roman"/>
          <w:color w:val="000000"/>
          <w:sz w:val="24"/>
          <w:szCs w:val="24"/>
          <w:lang w:eastAsia="ar-SA"/>
        </w:rPr>
        <w:t>, №2, №3)</w:t>
      </w:r>
      <w:r w:rsidR="002D1953">
        <w:rPr>
          <w:rFonts w:ascii="Times New Roman" w:eastAsia="Times New Roman" w:hAnsi="Times New Roman" w:cs="Times New Roman"/>
          <w:color w:val="000000"/>
          <w:sz w:val="24"/>
          <w:szCs w:val="24"/>
          <w:lang w:eastAsia="ar-SA"/>
        </w:rPr>
        <w:t xml:space="preserve"> к</w:t>
      </w:r>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bookmarkStart w:id="0" w:name="_GoBack"/>
      <w:bookmarkEnd w:id="0"/>
    </w:p>
    <w:p w14:paraId="1745A5AC" w14:textId="77777777" w:rsidR="00C8328B" w:rsidRPr="00D50745"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4B43F7">
      <w:pPr>
        <w:widowControl w:val="0"/>
        <w:numPr>
          <w:ilvl w:val="1"/>
          <w:numId w:val="26"/>
        </w:numPr>
        <w:tabs>
          <w:tab w:val="clear" w:pos="0"/>
          <w:tab w:val="num"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283E01">
      <w:pPr>
        <w:widowControl w:val="0"/>
        <w:numPr>
          <w:ilvl w:val="1"/>
          <w:numId w:val="26"/>
        </w:numPr>
        <w:tabs>
          <w:tab w:val="clear" w:pos="0"/>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7835A1AB" w:rsidR="00C8328B" w:rsidRPr="00D50745"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92EF76C" w:rsidR="00C8328B"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771D0B2F" w14:textId="2E2C7D6A" w:rsidR="00F72590" w:rsidRPr="00F72590" w:rsidRDefault="00F72590" w:rsidP="0000668F">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59373793" w14:textId="77777777" w:rsidR="001E6A50" w:rsidRDefault="00F7259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sidR="00283E01">
        <w:rPr>
          <w:rFonts w:eastAsia="Times New Roman" w:cs="Times New Roman"/>
          <w:color w:val="000000"/>
          <w:lang w:val="ru-RU" w:eastAsia="ar-SA"/>
        </w:rPr>
        <w:t>Р</w:t>
      </w:r>
      <w:r w:rsidRPr="00F72590">
        <w:rPr>
          <w:rFonts w:eastAsia="Times New Roman" w:cs="Times New Roman"/>
          <w:color w:val="000000"/>
          <w:lang w:val="ru-RU" w:eastAsia="ar-SA"/>
        </w:rPr>
        <w:t>асчет за фактически выполненные работы производится в течение 7 (семи) рабочих дней,</w:t>
      </w:r>
    </w:p>
    <w:p w14:paraId="1333C27B" w14:textId="7E0E7D54" w:rsidR="00F72590" w:rsidRPr="00F72590" w:rsidRDefault="001E6A5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после подписания Сторонами актов приемки выполненных работ, формы КС-2, КС-3.</w:t>
      </w:r>
    </w:p>
    <w:p w14:paraId="36348E40" w14:textId="77777777" w:rsidR="00262543" w:rsidRDefault="006475D6"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5067F6A9" w14:textId="19185BC8" w:rsidR="00C8328B" w:rsidRPr="00F72590" w:rsidRDefault="001E6A50"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262543">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52348724" w14:textId="443156CE" w:rsidR="002D1953" w:rsidRPr="00D50745" w:rsidRDefault="002D1953"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подрядчика________________</w:t>
      </w:r>
    </w:p>
    <w:p w14:paraId="3F6E8324" w14:textId="77777777" w:rsidR="00C8328B" w:rsidRPr="00D50745" w:rsidRDefault="00C8328B"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280ECB">
      <w:pPr>
        <w:widowControl w:val="0"/>
        <w:numPr>
          <w:ilvl w:val="1"/>
          <w:numId w:val="6"/>
        </w:numPr>
        <w:tabs>
          <w:tab w:val="left" w:pos="284"/>
          <w:tab w:val="left" w:pos="426"/>
          <w:tab w:val="left" w:pos="851"/>
        </w:tabs>
        <w:spacing w:after="0" w:line="240"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CE077A">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1"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1"/>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280ECB">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280ECB">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280ECB">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280ECB">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77777777" w:rsidR="00280ECB" w:rsidRPr="00B83C2A" w:rsidRDefault="00280ECB" w:rsidP="00280ECB">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Сдача и приемка работ.</w:t>
      </w:r>
    </w:p>
    <w:p w14:paraId="6B668ABC" w14:textId="77777777" w:rsidR="00B232AE"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сообщает Заказчику о готовности к сдаче результата выполненных по </w:t>
      </w:r>
    </w:p>
    <w:p w14:paraId="6B68A555" w14:textId="57E546C8" w:rsidR="00280ECB" w:rsidRPr="00B83C2A"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280ECB">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280ECB">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5.3. Заказчик, предварительно принявший результат отдельного этапа работ, несет риск </w:t>
      </w:r>
      <w:r w:rsidRPr="00B83C2A">
        <w:rPr>
          <w:rFonts w:ascii="Times New Roman" w:eastAsia="Times New Roman" w:hAnsi="Times New Roman" w:cs="Times New Roman"/>
          <w:color w:val="000000"/>
          <w:sz w:val="24"/>
          <w:szCs w:val="24"/>
          <w:lang w:eastAsia="ar-SA"/>
        </w:rPr>
        <w:lastRenderedPageBreak/>
        <w:t>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280ECB">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280ECB">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280ECB">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280ECB">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305526FA" w:rsidR="00280ECB"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7.4. В случаях, прямо не предусмотренных настоящим договором, за невыполнение или </w:t>
      </w:r>
      <w:r w:rsidRPr="000A0461">
        <w:rPr>
          <w:rFonts w:ascii="Times New Roman" w:eastAsia="Lucida Sans Unicode" w:hAnsi="Times New Roman" w:cs="Times New Roman"/>
          <w:sz w:val="24"/>
          <w:szCs w:val="24"/>
        </w:rPr>
        <w:lastRenderedPageBreak/>
        <w:t>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E433F58" w14:textId="77777777" w:rsidR="00A52B77" w:rsidRPr="00B83C2A" w:rsidRDefault="00A52B77" w:rsidP="000A0461">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280ECB">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280ECB">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280ECB">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280ECB">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280ECB">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280ECB">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 xml:space="preserve">.7. Стороны соглашаются в том, что с даты подписания настоящего договора все права на </w:t>
      </w:r>
      <w:r w:rsidRPr="00B83C2A">
        <w:rPr>
          <w:rFonts w:ascii="Times New Roman" w:eastAsia="Lucida Sans Unicode" w:hAnsi="Times New Roman" w:cs="Times New Roman"/>
          <w:sz w:val="24"/>
          <w:szCs w:val="24"/>
        </w:rPr>
        <w:lastRenderedPageBreak/>
        <w:t>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49162563" w:rsidR="00280ECB" w:rsidRDefault="00280ECB" w:rsidP="00280ECB">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p>
    <w:p w14:paraId="3F63AA42" w14:textId="77777777" w:rsidR="00280ECB" w:rsidRDefault="00280ECB" w:rsidP="00280ECB">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280ECB">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DDFDF53" w14:textId="77777777" w:rsidR="00C54E61" w:rsidRDefault="00C54E61" w:rsidP="00C54E61">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 №1</w:t>
      </w:r>
    </w:p>
    <w:p w14:paraId="50875442" w14:textId="6518F1DB" w:rsidR="00C54E61" w:rsidRDefault="00C54E61" w:rsidP="00C54E61">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xml:space="preserve"> Локальный сметный расчет №</w:t>
      </w:r>
      <w:r>
        <w:rPr>
          <w:rFonts w:ascii="Times New Roman" w:eastAsia="Times New Roman" w:hAnsi="Times New Roman" w:cs="Times New Roman"/>
          <w:color w:val="000000"/>
          <w:sz w:val="24"/>
          <w:szCs w:val="24"/>
          <w:lang w:eastAsia="ar-SA"/>
        </w:rPr>
        <w:t>2</w:t>
      </w:r>
    </w:p>
    <w:p w14:paraId="72B85166" w14:textId="7DC1B71F" w:rsidR="00C54E61" w:rsidRDefault="00C54E61" w:rsidP="00C54E61">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3</w:t>
      </w:r>
      <w:r>
        <w:rPr>
          <w:rFonts w:ascii="Times New Roman" w:eastAsia="Times New Roman" w:hAnsi="Times New Roman" w:cs="Times New Roman"/>
          <w:color w:val="000000"/>
          <w:sz w:val="24"/>
          <w:szCs w:val="24"/>
          <w:lang w:eastAsia="ar-SA"/>
        </w:rPr>
        <w:t xml:space="preserve"> Локальный сметный расчет №</w:t>
      </w:r>
      <w:r>
        <w:rPr>
          <w:rFonts w:ascii="Times New Roman" w:eastAsia="Times New Roman" w:hAnsi="Times New Roman" w:cs="Times New Roman"/>
          <w:color w:val="000000"/>
          <w:sz w:val="24"/>
          <w:szCs w:val="24"/>
          <w:lang w:eastAsia="ar-SA"/>
        </w:rPr>
        <w:t>3</w:t>
      </w: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C8328B">
      <w:pPr>
        <w:widowControl w:val="0"/>
        <w:spacing w:after="0" w:line="240" w:lineRule="auto"/>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6967F757" w:rsidR="00C8328B" w:rsidRPr="00D50745" w:rsidRDefault="00EF4667"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proofErr w:type="gramStart"/>
            <w:r w:rsidR="00C8328B" w:rsidRPr="00D50745">
              <w:rPr>
                <w:rFonts w:ascii="Times New Roman" w:eastAsia="Times New Roman" w:hAnsi="Times New Roman" w:cs="Times New Roman"/>
                <w:sz w:val="24"/>
                <w:szCs w:val="24"/>
              </w:rPr>
              <w:t>Туапсинский ,</w:t>
            </w:r>
            <w:proofErr w:type="gramEnd"/>
            <w:r w:rsidR="00C8328B" w:rsidRPr="00D50745">
              <w:rPr>
                <w:rFonts w:ascii="Times New Roman" w:eastAsia="Times New Roman" w:hAnsi="Times New Roman" w:cs="Times New Roman"/>
                <w:sz w:val="24"/>
                <w:szCs w:val="24"/>
              </w:rPr>
              <w:t xml:space="preserve">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 xml:space="preserve">С.М. </w:t>
            </w:r>
            <w:proofErr w:type="spellStart"/>
            <w:r w:rsidR="00150915">
              <w:rPr>
                <w:rFonts w:ascii="Times New Roman" w:eastAsia="Times New Roman" w:hAnsi="Times New Roman" w:cs="Times New Roman"/>
                <w:color w:val="000000"/>
                <w:sz w:val="24"/>
                <w:szCs w:val="24"/>
                <w:lang w:eastAsia="ar-SA"/>
              </w:rPr>
              <w:t>Северин</w:t>
            </w:r>
            <w:proofErr w:type="spellEnd"/>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77777777" w:rsidR="00C8328B" w:rsidRPr="00D50745" w:rsidRDefault="00C8328B" w:rsidP="00EA7385">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C743" w14:textId="77777777" w:rsidR="002577DC" w:rsidRDefault="002577DC" w:rsidP="009F17A6">
      <w:pPr>
        <w:spacing w:after="0" w:line="240" w:lineRule="auto"/>
      </w:pPr>
      <w:r>
        <w:separator/>
      </w:r>
    </w:p>
  </w:endnote>
  <w:endnote w:type="continuationSeparator" w:id="0">
    <w:p w14:paraId="2B2393A9" w14:textId="77777777" w:rsidR="002577DC" w:rsidRDefault="002577DC"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2577DC">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D085F" w14:textId="77777777" w:rsidR="002577DC" w:rsidRDefault="002577DC" w:rsidP="009F17A6">
      <w:pPr>
        <w:spacing w:after="0" w:line="240" w:lineRule="auto"/>
      </w:pPr>
      <w:r>
        <w:separator/>
      </w:r>
    </w:p>
  </w:footnote>
  <w:footnote w:type="continuationSeparator" w:id="0">
    <w:p w14:paraId="05496385" w14:textId="77777777" w:rsidR="002577DC" w:rsidRDefault="002577DC" w:rsidP="009F1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8"/>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6"/>
  </w:num>
  <w:num w:numId="20">
    <w:abstractNumId w:val="27"/>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668F"/>
    <w:rsid w:val="00017B82"/>
    <w:rsid w:val="0002474D"/>
    <w:rsid w:val="00033D5E"/>
    <w:rsid w:val="00035786"/>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5A93"/>
    <w:rsid w:val="000F46EA"/>
    <w:rsid w:val="0010007B"/>
    <w:rsid w:val="00107F8E"/>
    <w:rsid w:val="00112B2E"/>
    <w:rsid w:val="00121078"/>
    <w:rsid w:val="00134531"/>
    <w:rsid w:val="00140538"/>
    <w:rsid w:val="00150915"/>
    <w:rsid w:val="001569CD"/>
    <w:rsid w:val="0017141E"/>
    <w:rsid w:val="00171BA0"/>
    <w:rsid w:val="00175E27"/>
    <w:rsid w:val="001767A8"/>
    <w:rsid w:val="00185155"/>
    <w:rsid w:val="001C5CFB"/>
    <w:rsid w:val="001C5E6C"/>
    <w:rsid w:val="001D2326"/>
    <w:rsid w:val="001D305D"/>
    <w:rsid w:val="001E6A50"/>
    <w:rsid w:val="001F3B4F"/>
    <w:rsid w:val="00205817"/>
    <w:rsid w:val="00212F94"/>
    <w:rsid w:val="00232F06"/>
    <w:rsid w:val="002577DC"/>
    <w:rsid w:val="00262543"/>
    <w:rsid w:val="00276FA4"/>
    <w:rsid w:val="00280ECB"/>
    <w:rsid w:val="00283E01"/>
    <w:rsid w:val="002860A2"/>
    <w:rsid w:val="002876C4"/>
    <w:rsid w:val="002A1C97"/>
    <w:rsid w:val="002D1953"/>
    <w:rsid w:val="002E420D"/>
    <w:rsid w:val="002F117D"/>
    <w:rsid w:val="00301FDF"/>
    <w:rsid w:val="00304C14"/>
    <w:rsid w:val="0031641C"/>
    <w:rsid w:val="00336846"/>
    <w:rsid w:val="003640D5"/>
    <w:rsid w:val="0039003F"/>
    <w:rsid w:val="00397F54"/>
    <w:rsid w:val="003A0847"/>
    <w:rsid w:val="003A65F8"/>
    <w:rsid w:val="003B6710"/>
    <w:rsid w:val="003D3FB6"/>
    <w:rsid w:val="003D7E3A"/>
    <w:rsid w:val="003F043E"/>
    <w:rsid w:val="003F74A6"/>
    <w:rsid w:val="004156C6"/>
    <w:rsid w:val="00421679"/>
    <w:rsid w:val="00421DE7"/>
    <w:rsid w:val="0048508B"/>
    <w:rsid w:val="00485EFB"/>
    <w:rsid w:val="004961C8"/>
    <w:rsid w:val="00497C63"/>
    <w:rsid w:val="004B0321"/>
    <w:rsid w:val="004B36A2"/>
    <w:rsid w:val="004B43F7"/>
    <w:rsid w:val="004C3C3F"/>
    <w:rsid w:val="004F5ECD"/>
    <w:rsid w:val="00522A3D"/>
    <w:rsid w:val="00527C9E"/>
    <w:rsid w:val="00535949"/>
    <w:rsid w:val="005426DA"/>
    <w:rsid w:val="0055015B"/>
    <w:rsid w:val="00566A1E"/>
    <w:rsid w:val="00581226"/>
    <w:rsid w:val="00581D37"/>
    <w:rsid w:val="00583527"/>
    <w:rsid w:val="005943AE"/>
    <w:rsid w:val="005C5F3F"/>
    <w:rsid w:val="005D3142"/>
    <w:rsid w:val="005E508B"/>
    <w:rsid w:val="006074FB"/>
    <w:rsid w:val="00645732"/>
    <w:rsid w:val="00645DCD"/>
    <w:rsid w:val="006475D6"/>
    <w:rsid w:val="00647A82"/>
    <w:rsid w:val="006720A2"/>
    <w:rsid w:val="0067771E"/>
    <w:rsid w:val="006807EA"/>
    <w:rsid w:val="0069330D"/>
    <w:rsid w:val="0069741D"/>
    <w:rsid w:val="006A3664"/>
    <w:rsid w:val="006B57E8"/>
    <w:rsid w:val="006C6666"/>
    <w:rsid w:val="006D0C90"/>
    <w:rsid w:val="006E3B7C"/>
    <w:rsid w:val="006E45F0"/>
    <w:rsid w:val="006F0AC4"/>
    <w:rsid w:val="007313AE"/>
    <w:rsid w:val="00740857"/>
    <w:rsid w:val="00755C46"/>
    <w:rsid w:val="007629EC"/>
    <w:rsid w:val="0077210A"/>
    <w:rsid w:val="007B40F0"/>
    <w:rsid w:val="007C5F2C"/>
    <w:rsid w:val="007C61EC"/>
    <w:rsid w:val="007D2DD1"/>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A71EC"/>
    <w:rsid w:val="008C2477"/>
    <w:rsid w:val="008D06A5"/>
    <w:rsid w:val="008D3668"/>
    <w:rsid w:val="008D3859"/>
    <w:rsid w:val="008F5293"/>
    <w:rsid w:val="008F7D5F"/>
    <w:rsid w:val="00917D49"/>
    <w:rsid w:val="00924FF6"/>
    <w:rsid w:val="00946685"/>
    <w:rsid w:val="00947995"/>
    <w:rsid w:val="009812AA"/>
    <w:rsid w:val="00981EE3"/>
    <w:rsid w:val="0098683F"/>
    <w:rsid w:val="009A5A68"/>
    <w:rsid w:val="009B126E"/>
    <w:rsid w:val="009B1C89"/>
    <w:rsid w:val="009B6A70"/>
    <w:rsid w:val="009D5554"/>
    <w:rsid w:val="009E1C41"/>
    <w:rsid w:val="009F17A6"/>
    <w:rsid w:val="009F77C5"/>
    <w:rsid w:val="00A10409"/>
    <w:rsid w:val="00A15503"/>
    <w:rsid w:val="00A30510"/>
    <w:rsid w:val="00A371DE"/>
    <w:rsid w:val="00A52B77"/>
    <w:rsid w:val="00A62DFF"/>
    <w:rsid w:val="00AC1D6D"/>
    <w:rsid w:val="00AD2B25"/>
    <w:rsid w:val="00AE178F"/>
    <w:rsid w:val="00AF2128"/>
    <w:rsid w:val="00AF3AEB"/>
    <w:rsid w:val="00AF418B"/>
    <w:rsid w:val="00B232AE"/>
    <w:rsid w:val="00B344D5"/>
    <w:rsid w:val="00B47E64"/>
    <w:rsid w:val="00B64D0F"/>
    <w:rsid w:val="00B7183C"/>
    <w:rsid w:val="00B75D6D"/>
    <w:rsid w:val="00B83C2A"/>
    <w:rsid w:val="00B9021A"/>
    <w:rsid w:val="00B92F6A"/>
    <w:rsid w:val="00BA5492"/>
    <w:rsid w:val="00BB18CA"/>
    <w:rsid w:val="00BD22B2"/>
    <w:rsid w:val="00BD2CC7"/>
    <w:rsid w:val="00BD5424"/>
    <w:rsid w:val="00BD6F0F"/>
    <w:rsid w:val="00BE491B"/>
    <w:rsid w:val="00C07F2E"/>
    <w:rsid w:val="00C12587"/>
    <w:rsid w:val="00C24CCF"/>
    <w:rsid w:val="00C264A1"/>
    <w:rsid w:val="00C332DA"/>
    <w:rsid w:val="00C400C8"/>
    <w:rsid w:val="00C54E61"/>
    <w:rsid w:val="00C64BC6"/>
    <w:rsid w:val="00C7153E"/>
    <w:rsid w:val="00C8328B"/>
    <w:rsid w:val="00C9108D"/>
    <w:rsid w:val="00C94E63"/>
    <w:rsid w:val="00C9594D"/>
    <w:rsid w:val="00CA0709"/>
    <w:rsid w:val="00CC228C"/>
    <w:rsid w:val="00CD0D80"/>
    <w:rsid w:val="00CF5C96"/>
    <w:rsid w:val="00D17866"/>
    <w:rsid w:val="00D20697"/>
    <w:rsid w:val="00D26157"/>
    <w:rsid w:val="00D30105"/>
    <w:rsid w:val="00D50335"/>
    <w:rsid w:val="00D71FE7"/>
    <w:rsid w:val="00D7364C"/>
    <w:rsid w:val="00D83D08"/>
    <w:rsid w:val="00D97BF6"/>
    <w:rsid w:val="00DA01F0"/>
    <w:rsid w:val="00DB39B6"/>
    <w:rsid w:val="00DB5423"/>
    <w:rsid w:val="00DF57AE"/>
    <w:rsid w:val="00E025E6"/>
    <w:rsid w:val="00E0456A"/>
    <w:rsid w:val="00E24D8C"/>
    <w:rsid w:val="00E261C4"/>
    <w:rsid w:val="00E40E5A"/>
    <w:rsid w:val="00E41243"/>
    <w:rsid w:val="00E45882"/>
    <w:rsid w:val="00E47BC4"/>
    <w:rsid w:val="00E50547"/>
    <w:rsid w:val="00E51054"/>
    <w:rsid w:val="00E66CDA"/>
    <w:rsid w:val="00E86D6B"/>
    <w:rsid w:val="00EA2C35"/>
    <w:rsid w:val="00EA5672"/>
    <w:rsid w:val="00EE210C"/>
    <w:rsid w:val="00EE5632"/>
    <w:rsid w:val="00EF4667"/>
    <w:rsid w:val="00F34C63"/>
    <w:rsid w:val="00F43E2B"/>
    <w:rsid w:val="00F52F90"/>
    <w:rsid w:val="00F57EE1"/>
    <w:rsid w:val="00F72590"/>
    <w:rsid w:val="00F74E64"/>
    <w:rsid w:val="00F77A39"/>
    <w:rsid w:val="00F815DF"/>
    <w:rsid w:val="00F83827"/>
    <w:rsid w:val="00FB2726"/>
    <w:rsid w:val="00FD42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D0AA8"/>
    <w:rsid w:val="000F3BFB"/>
    <w:rsid w:val="002347DA"/>
    <w:rsid w:val="00341889"/>
    <w:rsid w:val="00384FE2"/>
    <w:rsid w:val="00565BF6"/>
    <w:rsid w:val="00632395"/>
    <w:rsid w:val="009806BF"/>
    <w:rsid w:val="00A75F1E"/>
    <w:rsid w:val="00AB51E6"/>
    <w:rsid w:val="00C725B7"/>
    <w:rsid w:val="00E46F1F"/>
    <w:rsid w:val="00F24CD7"/>
    <w:rsid w:val="00FE0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4F54F-74C9-457A-A1BB-4F006CE9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2797</Words>
  <Characters>15945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Ирина Плотникова</cp:lastModifiedBy>
  <cp:revision>2</cp:revision>
  <cp:lastPrinted>2025-08-18T10:15:00Z</cp:lastPrinted>
  <dcterms:created xsi:type="dcterms:W3CDTF">2025-09-24T13:07:00Z</dcterms:created>
  <dcterms:modified xsi:type="dcterms:W3CDTF">2025-09-24T13:07:00Z</dcterms:modified>
  <dc:language>ru-RU</dc:language>
</cp:coreProperties>
</file>